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41A74" w14:textId="77777777" w:rsidR="00050442" w:rsidRPr="00E741A3" w:rsidRDefault="00050442" w:rsidP="00050442">
      <w:pPr>
        <w:pStyle w:val="Header"/>
        <w:tabs>
          <w:tab w:val="clear" w:pos="4320"/>
          <w:tab w:val="clear" w:pos="8640"/>
          <w:tab w:val="left" w:pos="900"/>
          <w:tab w:val="left" w:pos="4860"/>
          <w:tab w:val="left" w:pos="5940"/>
        </w:tabs>
        <w:rPr>
          <w:rFonts w:ascii="Arial" w:hAnsi="Arial" w:cs="Arial"/>
          <w:b/>
          <w:spacing w:val="50"/>
          <w:sz w:val="28"/>
        </w:rPr>
      </w:pPr>
      <w:bookmarkStart w:id="0" w:name="_GoBack"/>
      <w:bookmarkEnd w:id="0"/>
      <w:r w:rsidRPr="00E741A3">
        <w:rPr>
          <w:rFonts w:ascii="Arial" w:hAnsi="Arial" w:cs="Arial"/>
          <w:b/>
          <w:spacing w:val="50"/>
          <w:sz w:val="28"/>
        </w:rPr>
        <w:t>MEMORANDUM</w:t>
      </w:r>
    </w:p>
    <w:p w14:paraId="7C07C727" w14:textId="77777777" w:rsidR="00050442" w:rsidRPr="00E741A3" w:rsidRDefault="00050442" w:rsidP="00050442">
      <w:pPr>
        <w:pStyle w:val="Header"/>
        <w:tabs>
          <w:tab w:val="clear" w:pos="4320"/>
          <w:tab w:val="clear" w:pos="8640"/>
          <w:tab w:val="left" w:pos="900"/>
          <w:tab w:val="left" w:pos="4860"/>
          <w:tab w:val="left" w:pos="5940"/>
        </w:tabs>
        <w:jc w:val="center"/>
        <w:rPr>
          <w:rFonts w:ascii="Arial" w:hAnsi="Arial" w:cs="Arial"/>
          <w:sz w:val="22"/>
        </w:rPr>
      </w:pPr>
    </w:p>
    <w:p w14:paraId="51701C7A" w14:textId="6F457065" w:rsidR="00050442" w:rsidRPr="00E741A3" w:rsidRDefault="00050442" w:rsidP="00050442">
      <w:pPr>
        <w:pStyle w:val="Header"/>
        <w:tabs>
          <w:tab w:val="clear" w:pos="4320"/>
          <w:tab w:val="clear" w:pos="8640"/>
          <w:tab w:val="left" w:pos="1260"/>
          <w:tab w:val="left" w:pos="4860"/>
          <w:tab w:val="left" w:pos="5940"/>
        </w:tabs>
        <w:spacing w:line="360" w:lineRule="auto"/>
        <w:rPr>
          <w:rFonts w:ascii="Arial" w:hAnsi="Arial" w:cs="Arial"/>
        </w:rPr>
      </w:pPr>
      <w:r w:rsidRPr="00E741A3">
        <w:rPr>
          <w:rFonts w:ascii="Arial" w:hAnsi="Arial" w:cs="Arial"/>
          <w:b/>
        </w:rPr>
        <w:t>Date:</w:t>
      </w:r>
      <w:r w:rsidRPr="00E741A3">
        <w:rPr>
          <w:rFonts w:ascii="Arial" w:hAnsi="Arial" w:cs="Arial"/>
        </w:rPr>
        <w:tab/>
      </w:r>
      <w:r w:rsidRPr="00E741A3">
        <w:rPr>
          <w:rFonts w:ascii="Arial" w:hAnsi="Arial" w:cs="Arial"/>
        </w:rPr>
        <w:fldChar w:fldCharType="begin"/>
      </w:r>
      <w:r w:rsidRPr="00E741A3">
        <w:rPr>
          <w:rFonts w:ascii="Arial" w:hAnsi="Arial" w:cs="Arial"/>
        </w:rPr>
        <w:instrText xml:space="preserve"> DATE  \@ "dddd, MMMM dd, yyyy"  \* MERGEFORMAT </w:instrText>
      </w:r>
      <w:r w:rsidRPr="00E741A3">
        <w:rPr>
          <w:rFonts w:ascii="Arial" w:hAnsi="Arial" w:cs="Arial"/>
        </w:rPr>
        <w:fldChar w:fldCharType="separate"/>
      </w:r>
      <w:r w:rsidR="00DC0E63">
        <w:rPr>
          <w:rFonts w:ascii="Arial" w:hAnsi="Arial" w:cs="Arial"/>
          <w:noProof/>
        </w:rPr>
        <w:t>Tuesday, September 29, 2020</w:t>
      </w:r>
      <w:r w:rsidRPr="00E741A3">
        <w:rPr>
          <w:rFonts w:ascii="Arial" w:hAnsi="Arial" w:cs="Arial"/>
        </w:rPr>
        <w:fldChar w:fldCharType="end"/>
      </w:r>
    </w:p>
    <w:p w14:paraId="55015128" w14:textId="0ED5F527" w:rsidR="00050442" w:rsidRPr="00E741A3" w:rsidRDefault="00050442" w:rsidP="00050442">
      <w:pPr>
        <w:pStyle w:val="Header"/>
        <w:tabs>
          <w:tab w:val="clear" w:pos="4320"/>
          <w:tab w:val="clear" w:pos="8640"/>
          <w:tab w:val="left" w:pos="1260"/>
          <w:tab w:val="left" w:pos="4860"/>
          <w:tab w:val="left" w:pos="5940"/>
        </w:tabs>
        <w:spacing w:line="360" w:lineRule="auto"/>
        <w:rPr>
          <w:rFonts w:ascii="Arial" w:hAnsi="Arial" w:cs="Arial"/>
        </w:rPr>
      </w:pPr>
      <w:r w:rsidRPr="00E741A3">
        <w:rPr>
          <w:rFonts w:ascii="Arial" w:hAnsi="Arial" w:cs="Arial"/>
          <w:b/>
        </w:rPr>
        <w:t>To:</w:t>
      </w:r>
      <w:r w:rsidRPr="00E741A3">
        <w:rPr>
          <w:rFonts w:ascii="Arial" w:hAnsi="Arial" w:cs="Arial"/>
        </w:rPr>
        <w:tab/>
      </w:r>
      <w:r w:rsidR="004E479E">
        <w:rPr>
          <w:rFonts w:ascii="Arial" w:hAnsi="Arial" w:cs="Arial"/>
        </w:rPr>
        <w:t>HHP Providers</w:t>
      </w:r>
    </w:p>
    <w:p w14:paraId="2E934765" w14:textId="2364ECAD" w:rsidR="00050442" w:rsidRPr="00E741A3" w:rsidRDefault="00050442" w:rsidP="004E479E">
      <w:pPr>
        <w:pStyle w:val="Header"/>
        <w:tabs>
          <w:tab w:val="clear" w:pos="4320"/>
          <w:tab w:val="clear" w:pos="8640"/>
          <w:tab w:val="left" w:pos="1260"/>
          <w:tab w:val="left" w:pos="4860"/>
          <w:tab w:val="left" w:pos="5940"/>
        </w:tabs>
        <w:spacing w:line="360" w:lineRule="auto"/>
        <w:ind w:left="720" w:hanging="720"/>
        <w:rPr>
          <w:rFonts w:ascii="Arial" w:hAnsi="Arial" w:cs="Arial"/>
        </w:rPr>
      </w:pPr>
      <w:r w:rsidRPr="00E741A3">
        <w:rPr>
          <w:rFonts w:ascii="Arial" w:hAnsi="Arial" w:cs="Arial"/>
          <w:b/>
        </w:rPr>
        <w:t>From:</w:t>
      </w:r>
      <w:r w:rsidRPr="00E741A3">
        <w:rPr>
          <w:rFonts w:ascii="Arial" w:hAnsi="Arial" w:cs="Arial"/>
          <w:b/>
        </w:rPr>
        <w:tab/>
      </w:r>
      <w:r w:rsidR="003A68EF">
        <w:rPr>
          <w:rFonts w:ascii="Arial" w:hAnsi="Arial" w:cs="Arial"/>
          <w:b/>
        </w:rPr>
        <w:tab/>
      </w:r>
      <w:r w:rsidR="00DC3D56" w:rsidRPr="00504F8F">
        <w:rPr>
          <w:rFonts w:ascii="Arial" w:hAnsi="Arial" w:cs="Arial"/>
        </w:rPr>
        <w:t xml:space="preserve">HPH </w:t>
      </w:r>
      <w:r w:rsidR="003A68EF">
        <w:rPr>
          <w:rFonts w:ascii="Arial" w:hAnsi="Arial" w:cs="Arial"/>
        </w:rPr>
        <w:t>Infectious Disease Workgroup</w:t>
      </w:r>
      <w:r w:rsidR="004E479E">
        <w:rPr>
          <w:rFonts w:ascii="Arial" w:hAnsi="Arial" w:cs="Arial"/>
        </w:rPr>
        <w:t xml:space="preserve">, HPH P&amp;T </w:t>
      </w:r>
      <w:r w:rsidR="003A68EF">
        <w:rPr>
          <w:rFonts w:ascii="Arial" w:hAnsi="Arial" w:cs="Arial"/>
        </w:rPr>
        <w:t>Committee</w:t>
      </w:r>
      <w:r w:rsidR="003A68EF">
        <w:rPr>
          <w:rFonts w:ascii="Arial" w:hAnsi="Arial" w:cs="Arial"/>
        </w:rPr>
        <w:tab/>
      </w:r>
      <w:r w:rsidR="00DC3D56">
        <w:rPr>
          <w:rFonts w:ascii="Arial" w:hAnsi="Arial" w:cs="Arial"/>
          <w:b/>
        </w:rPr>
        <w:t xml:space="preserve"> </w:t>
      </w:r>
    </w:p>
    <w:p w14:paraId="6326BBB1" w14:textId="6B048885" w:rsidR="00050442" w:rsidRPr="00E741A3" w:rsidRDefault="00050442" w:rsidP="00050442">
      <w:pPr>
        <w:pStyle w:val="Header"/>
        <w:pBdr>
          <w:bottom w:val="single" w:sz="4" w:space="6" w:color="auto"/>
        </w:pBdr>
        <w:tabs>
          <w:tab w:val="clear" w:pos="4320"/>
          <w:tab w:val="clear" w:pos="8640"/>
          <w:tab w:val="left" w:pos="1260"/>
          <w:tab w:val="left" w:pos="4860"/>
          <w:tab w:val="left" w:pos="5940"/>
        </w:tabs>
        <w:spacing w:line="360" w:lineRule="auto"/>
        <w:rPr>
          <w:rFonts w:ascii="Arial" w:hAnsi="Arial" w:cs="Arial"/>
        </w:rPr>
      </w:pPr>
      <w:r w:rsidRPr="00E741A3">
        <w:rPr>
          <w:rFonts w:ascii="Arial" w:hAnsi="Arial" w:cs="Arial"/>
          <w:b/>
        </w:rPr>
        <w:t>Subject:</w:t>
      </w:r>
      <w:r w:rsidRPr="00E741A3">
        <w:rPr>
          <w:rFonts w:ascii="Arial" w:hAnsi="Arial" w:cs="Arial"/>
        </w:rPr>
        <w:tab/>
      </w:r>
      <w:r w:rsidR="003A68EF">
        <w:rPr>
          <w:rFonts w:ascii="Arial" w:hAnsi="Arial" w:cs="Arial"/>
        </w:rPr>
        <w:t>Use of Dexamethasone in Outpatients with C</w:t>
      </w:r>
      <w:r w:rsidR="00575D39">
        <w:rPr>
          <w:rFonts w:ascii="Arial" w:hAnsi="Arial" w:cs="Arial"/>
        </w:rPr>
        <w:t xml:space="preserve">OVID-19 </w:t>
      </w:r>
    </w:p>
    <w:p w14:paraId="5FFB5283" w14:textId="77777777" w:rsidR="00050442" w:rsidRDefault="00050442" w:rsidP="00050442">
      <w:pPr>
        <w:pStyle w:val="Header"/>
        <w:tabs>
          <w:tab w:val="clear" w:pos="4320"/>
          <w:tab w:val="clear" w:pos="8640"/>
          <w:tab w:val="left" w:pos="900"/>
          <w:tab w:val="left" w:pos="4860"/>
          <w:tab w:val="left" w:pos="5940"/>
        </w:tabs>
        <w:rPr>
          <w:rFonts w:ascii="Verdana" w:hAnsi="Verdana"/>
        </w:rPr>
      </w:pPr>
    </w:p>
    <w:p w14:paraId="5B7773A9" w14:textId="70D00FB1" w:rsidR="00504F8F" w:rsidRDefault="006369DB" w:rsidP="00D3666F">
      <w:pPr>
        <w:autoSpaceDE w:val="0"/>
        <w:autoSpaceDN w:val="0"/>
        <w:adjustRightInd w:val="0"/>
        <w:rPr>
          <w:color w:val="4D4D4D"/>
          <w:lang w:val="en"/>
        </w:rPr>
      </w:pPr>
      <w:r>
        <w:rPr>
          <w:rFonts w:ascii="Calibri" w:eastAsia="Calibri" w:hAnsi="Calibri" w:cs="Calibri"/>
          <w:sz w:val="22"/>
          <w:szCs w:val="22"/>
        </w:rPr>
        <w:t xml:space="preserve">This memo </w:t>
      </w:r>
      <w:r w:rsidR="00CF436C">
        <w:rPr>
          <w:rFonts w:ascii="Calibri" w:eastAsia="Calibri" w:hAnsi="Calibri" w:cs="Calibri"/>
          <w:sz w:val="22"/>
          <w:szCs w:val="22"/>
        </w:rPr>
        <w:t>address</w:t>
      </w:r>
      <w:r>
        <w:rPr>
          <w:rFonts w:ascii="Calibri" w:eastAsia="Calibri" w:hAnsi="Calibri" w:cs="Calibri"/>
          <w:sz w:val="22"/>
          <w:szCs w:val="22"/>
        </w:rPr>
        <w:t>es</w:t>
      </w:r>
      <w:r w:rsidR="00CF436C">
        <w:rPr>
          <w:rFonts w:ascii="Calibri" w:eastAsia="Calibri" w:hAnsi="Calibri" w:cs="Calibri"/>
          <w:sz w:val="22"/>
          <w:szCs w:val="22"/>
        </w:rPr>
        <w:t xml:space="preserve"> questions related to dexamethasone </w:t>
      </w:r>
      <w:r w:rsidR="00FC1871">
        <w:rPr>
          <w:rFonts w:ascii="Calibri" w:eastAsia="Calibri" w:hAnsi="Calibri" w:cs="Calibri"/>
          <w:sz w:val="22"/>
          <w:szCs w:val="22"/>
        </w:rPr>
        <w:t>use</w:t>
      </w:r>
      <w:r w:rsidR="00CF436C">
        <w:rPr>
          <w:rFonts w:ascii="Calibri" w:eastAsia="Calibri" w:hAnsi="Calibri" w:cs="Calibri"/>
          <w:sz w:val="22"/>
          <w:szCs w:val="22"/>
        </w:rPr>
        <w:t xml:space="preserve"> in outpatients diagnosed with COVID-19</w:t>
      </w:r>
      <w:r w:rsidR="00FC1871">
        <w:rPr>
          <w:rFonts w:ascii="Calibri" w:eastAsia="Calibri" w:hAnsi="Calibri" w:cs="Calibri"/>
          <w:sz w:val="22"/>
          <w:szCs w:val="22"/>
        </w:rPr>
        <w:t>.</w:t>
      </w:r>
    </w:p>
    <w:p w14:paraId="0F84335B" w14:textId="31EFFAE1" w:rsidR="00FC1871" w:rsidRDefault="00FC1871" w:rsidP="00D3666F">
      <w:pPr>
        <w:autoSpaceDE w:val="0"/>
        <w:autoSpaceDN w:val="0"/>
        <w:adjustRightInd w:val="0"/>
        <w:rPr>
          <w:color w:val="4D4D4D"/>
          <w:lang w:val="en"/>
        </w:rPr>
      </w:pPr>
    </w:p>
    <w:p w14:paraId="7E43E4E7" w14:textId="2CB0720E" w:rsidR="00FC1871" w:rsidRDefault="00FC1871" w:rsidP="00D3666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  <w:r w:rsidRPr="00FC1871">
        <w:rPr>
          <w:rFonts w:ascii="Calibri" w:hAnsi="Calibri" w:cs="Calibri"/>
          <w:iCs/>
          <w:sz w:val="22"/>
          <w:szCs w:val="22"/>
          <w:lang w:val="en"/>
        </w:rPr>
        <w:t xml:space="preserve">The RECOVERY </w:t>
      </w:r>
      <w:r w:rsidRPr="00FC1871">
        <w:rPr>
          <w:rFonts w:ascii="Calibri" w:eastAsia="Calibri" w:hAnsi="Calibri" w:cs="Calibri"/>
          <w:sz w:val="22"/>
          <w:szCs w:val="22"/>
        </w:rPr>
        <w:t xml:space="preserve">(Randomized Evaluation of COVID-19 Therapy) </w:t>
      </w:r>
      <w:r w:rsidRPr="00FC1871">
        <w:rPr>
          <w:rFonts w:ascii="Calibri" w:hAnsi="Calibri" w:cs="Calibri"/>
          <w:iCs/>
          <w:sz w:val="22"/>
          <w:szCs w:val="22"/>
          <w:lang w:val="en"/>
        </w:rPr>
        <w:t xml:space="preserve">trial provides evidence that treatment with dexamethasone at a dose of 6 mg once daily for up to 10 days reduces 28-day </w:t>
      </w:r>
      <w:r>
        <w:rPr>
          <w:rFonts w:ascii="Calibri" w:hAnsi="Calibri" w:cs="Calibri"/>
          <w:iCs/>
          <w:sz w:val="22"/>
          <w:szCs w:val="22"/>
          <w:lang w:val="en"/>
        </w:rPr>
        <w:t>mortality in patients with COVID</w:t>
      </w:r>
      <w:r w:rsidRPr="00FC1871">
        <w:rPr>
          <w:rFonts w:ascii="Calibri" w:hAnsi="Calibri" w:cs="Calibri"/>
          <w:iCs/>
          <w:sz w:val="22"/>
          <w:szCs w:val="22"/>
          <w:lang w:val="en"/>
        </w:rPr>
        <w:t>-19 who are</w:t>
      </w:r>
      <w:r>
        <w:rPr>
          <w:rFonts w:ascii="Calibri" w:hAnsi="Calibri" w:cs="Calibri"/>
          <w:iCs/>
          <w:sz w:val="22"/>
          <w:szCs w:val="22"/>
          <w:lang w:val="en"/>
        </w:rPr>
        <w:t xml:space="preserve"> receiving respiratory support</w:t>
      </w:r>
      <w:r w:rsidR="006369DB">
        <w:rPr>
          <w:rFonts w:ascii="Calibri" w:hAnsi="Calibri" w:cs="Calibri"/>
          <w:iCs/>
          <w:sz w:val="22"/>
          <w:szCs w:val="22"/>
          <w:lang w:val="en"/>
        </w:rPr>
        <w:t xml:space="preserve"> (oxygen without invasive mechanical ventilation or invasive mechanical ventilation)</w:t>
      </w:r>
      <w:r w:rsidR="00E05AB6">
        <w:rPr>
          <w:rFonts w:ascii="Calibri" w:hAnsi="Calibri" w:cs="Calibri"/>
          <w:iCs/>
          <w:sz w:val="22"/>
          <w:szCs w:val="22"/>
          <w:lang w:val="en"/>
        </w:rPr>
        <w:t xml:space="preserve">. </w:t>
      </w:r>
      <w:r>
        <w:rPr>
          <w:rFonts w:ascii="Calibri" w:hAnsi="Calibri" w:cs="Calibri"/>
          <w:iCs/>
          <w:sz w:val="22"/>
          <w:szCs w:val="22"/>
          <w:lang w:val="en"/>
        </w:rPr>
        <w:t xml:space="preserve">The study </w:t>
      </w:r>
      <w:r w:rsidRPr="00FC1871">
        <w:rPr>
          <w:rFonts w:ascii="Calibri" w:hAnsi="Calibri" w:cs="Calibri"/>
          <w:iCs/>
          <w:sz w:val="22"/>
          <w:szCs w:val="22"/>
          <w:lang w:val="en"/>
        </w:rPr>
        <w:t>found no benefit (and the possibility of harm) among pat</w:t>
      </w:r>
      <w:r w:rsidR="006369DB">
        <w:rPr>
          <w:rFonts w:ascii="Calibri" w:hAnsi="Calibri" w:cs="Calibri"/>
          <w:iCs/>
          <w:sz w:val="22"/>
          <w:szCs w:val="22"/>
          <w:lang w:val="en"/>
        </w:rPr>
        <w:t>ients who did not require respiratory support</w:t>
      </w:r>
      <w:r w:rsidR="00E05AB6">
        <w:rPr>
          <w:rFonts w:ascii="Calibri" w:hAnsi="Calibri" w:cs="Calibri"/>
          <w:iCs/>
          <w:sz w:val="22"/>
          <w:szCs w:val="22"/>
          <w:lang w:val="en"/>
        </w:rPr>
        <w:t xml:space="preserve">. </w:t>
      </w:r>
      <w:r w:rsidR="003C5AC2">
        <w:rPr>
          <w:rFonts w:ascii="Calibri" w:hAnsi="Calibri" w:cs="Calibri"/>
          <w:sz w:val="22"/>
          <w:szCs w:val="22"/>
          <w:lang w:val="en"/>
        </w:rPr>
        <w:t xml:space="preserve">In addition, </w:t>
      </w:r>
      <w:r>
        <w:rPr>
          <w:rFonts w:ascii="Calibri" w:hAnsi="Calibri" w:cs="Calibri"/>
          <w:sz w:val="22"/>
          <w:szCs w:val="22"/>
          <w:lang w:val="en"/>
        </w:rPr>
        <w:t>NIH and IDSA COVID-19 treatment guidelines</w:t>
      </w:r>
      <w:r w:rsidR="003049CC">
        <w:rPr>
          <w:rFonts w:ascii="Calibri" w:hAnsi="Calibri" w:cs="Calibri"/>
          <w:sz w:val="22"/>
          <w:szCs w:val="22"/>
          <w:lang w:val="en"/>
        </w:rPr>
        <w:t xml:space="preserve"> currently</w:t>
      </w:r>
      <w:r>
        <w:rPr>
          <w:rFonts w:ascii="Calibri" w:hAnsi="Calibri" w:cs="Calibri"/>
          <w:sz w:val="22"/>
          <w:szCs w:val="22"/>
          <w:lang w:val="en"/>
        </w:rPr>
        <w:t xml:space="preserve"> recommend against dexamethasone use in patients without a supplemental oxygen requirement.</w:t>
      </w:r>
    </w:p>
    <w:p w14:paraId="7FBFEBC6" w14:textId="739BC077" w:rsidR="00663FFB" w:rsidRDefault="00663FFB" w:rsidP="00D3666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14:paraId="393378EC" w14:textId="12C34076" w:rsidR="00663FFB" w:rsidRPr="00AD454A" w:rsidRDefault="00BC2FD6" w:rsidP="00AD454A">
      <w:p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BC2FD6">
        <w:rPr>
          <w:rFonts w:ascii="Calibri" w:hAnsi="Calibri" w:cs="Calibri"/>
          <w:sz w:val="22"/>
          <w:szCs w:val="22"/>
          <w:lang w:val="en"/>
        </w:rPr>
        <w:t xml:space="preserve">The benefit of corticosteroids in </w:t>
      </w:r>
      <w:r w:rsidR="00262FFE">
        <w:rPr>
          <w:rFonts w:ascii="Calibri" w:hAnsi="Calibri" w:cs="Calibri"/>
          <w:sz w:val="22"/>
          <w:szCs w:val="22"/>
          <w:lang w:val="en"/>
        </w:rPr>
        <w:t>moderate to severe</w:t>
      </w:r>
      <w:r w:rsidRPr="00BC2FD6">
        <w:rPr>
          <w:rFonts w:ascii="Calibri" w:hAnsi="Calibri" w:cs="Calibri"/>
          <w:sz w:val="22"/>
          <w:szCs w:val="22"/>
          <w:lang w:val="en"/>
        </w:rPr>
        <w:t xml:space="preserve"> disease (hypoxia requiring oxygen, cytokine storm) results from tempering th</w:t>
      </w:r>
      <w:r w:rsidR="00E05AB6">
        <w:rPr>
          <w:rFonts w:ascii="Calibri" w:hAnsi="Calibri" w:cs="Calibri"/>
          <w:sz w:val="22"/>
          <w:szCs w:val="22"/>
          <w:lang w:val="en"/>
        </w:rPr>
        <w:t>e host immune response. I</w:t>
      </w:r>
      <w:r w:rsidRPr="00BC2FD6">
        <w:rPr>
          <w:rFonts w:ascii="Calibri" w:hAnsi="Calibri" w:cs="Calibri"/>
          <w:sz w:val="22"/>
          <w:szCs w:val="22"/>
          <w:lang w:val="en"/>
        </w:rPr>
        <w:t xml:space="preserve">n </w:t>
      </w:r>
      <w:r w:rsidR="00262FFE">
        <w:rPr>
          <w:rFonts w:ascii="Calibri" w:hAnsi="Calibri" w:cs="Calibri"/>
          <w:sz w:val="22"/>
          <w:szCs w:val="22"/>
          <w:lang w:val="en"/>
        </w:rPr>
        <w:t>mild</w:t>
      </w:r>
      <w:r w:rsidRPr="00BC2FD6">
        <w:rPr>
          <w:rFonts w:ascii="Calibri" w:hAnsi="Calibri" w:cs="Calibri"/>
          <w:sz w:val="22"/>
          <w:szCs w:val="22"/>
          <w:lang w:val="en"/>
        </w:rPr>
        <w:t xml:space="preserve"> disease </w:t>
      </w:r>
      <w:r w:rsidR="00262FFE">
        <w:rPr>
          <w:rFonts w:ascii="Calibri" w:hAnsi="Calibri" w:cs="Calibri"/>
          <w:sz w:val="22"/>
          <w:szCs w:val="22"/>
          <w:lang w:val="en"/>
        </w:rPr>
        <w:t xml:space="preserve">(outpatient, no oxygen requirement) </w:t>
      </w:r>
      <w:r w:rsidRPr="00BC2FD6">
        <w:rPr>
          <w:rFonts w:ascii="Calibri" w:hAnsi="Calibri" w:cs="Calibri"/>
          <w:sz w:val="22"/>
          <w:szCs w:val="22"/>
          <w:lang w:val="en"/>
        </w:rPr>
        <w:t xml:space="preserve">when the host immune </w:t>
      </w:r>
      <w:r>
        <w:rPr>
          <w:rFonts w:ascii="Calibri" w:hAnsi="Calibri" w:cs="Calibri"/>
          <w:sz w:val="22"/>
          <w:szCs w:val="22"/>
          <w:lang w:val="en"/>
        </w:rPr>
        <w:t>response</w:t>
      </w:r>
      <w:r w:rsidRPr="00BC2FD6">
        <w:rPr>
          <w:rFonts w:ascii="Calibri" w:hAnsi="Calibri" w:cs="Calibri"/>
          <w:sz w:val="22"/>
          <w:szCs w:val="22"/>
          <w:lang w:val="en"/>
        </w:rPr>
        <w:t xml:space="preserve"> is fighting the virus, dexamethaso</w:t>
      </w:r>
      <w:r>
        <w:rPr>
          <w:rFonts w:ascii="Calibri" w:hAnsi="Calibri" w:cs="Calibri"/>
          <w:sz w:val="22"/>
          <w:szCs w:val="22"/>
          <w:lang w:val="en"/>
        </w:rPr>
        <w:t>ne may do more harm than good.</w:t>
      </w:r>
    </w:p>
    <w:p w14:paraId="3BE4AC81" w14:textId="1A0E42BA" w:rsidR="00663FFB" w:rsidRDefault="00663FFB" w:rsidP="00D3666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/>
        </w:rPr>
      </w:pPr>
    </w:p>
    <w:p w14:paraId="166AF136" w14:textId="188D8388" w:rsidR="00995CFB" w:rsidRDefault="00AD454A" w:rsidP="00AD45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AD454A">
        <w:rPr>
          <w:rFonts w:ascii="Calibri" w:eastAsia="Calibri" w:hAnsi="Calibri" w:cs="Calibri"/>
          <w:b/>
          <w:sz w:val="22"/>
          <w:szCs w:val="22"/>
        </w:rPr>
        <w:t>Recommendation</w:t>
      </w:r>
      <w:r w:rsidR="00D3666F" w:rsidRPr="00AD454A">
        <w:rPr>
          <w:rFonts w:ascii="Calibri" w:eastAsia="Calibri" w:hAnsi="Calibri" w:cs="Calibri"/>
          <w:b/>
          <w:sz w:val="22"/>
          <w:szCs w:val="22"/>
        </w:rPr>
        <w:t>:</w:t>
      </w:r>
      <w:r w:rsidR="00E05AB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63FFB" w:rsidRPr="00AD454A">
        <w:rPr>
          <w:rFonts w:ascii="Calibri" w:eastAsia="Calibri" w:hAnsi="Calibri" w:cs="Calibri"/>
          <w:sz w:val="22"/>
          <w:szCs w:val="22"/>
        </w:rPr>
        <w:t xml:space="preserve">At this time, we </w:t>
      </w:r>
      <w:r w:rsidR="00663FFB" w:rsidRPr="00AD454A">
        <w:rPr>
          <w:rFonts w:ascii="Calibri" w:eastAsia="Calibri" w:hAnsi="Calibri" w:cs="Calibri"/>
          <w:sz w:val="22"/>
          <w:szCs w:val="22"/>
          <w:u w:val="single"/>
        </w:rPr>
        <w:t>do not recommend</w:t>
      </w:r>
      <w:r w:rsidR="00663FFB" w:rsidRPr="00AD454A">
        <w:rPr>
          <w:rFonts w:ascii="Calibri" w:eastAsia="Calibri" w:hAnsi="Calibri" w:cs="Calibri"/>
          <w:sz w:val="22"/>
          <w:szCs w:val="22"/>
        </w:rPr>
        <w:t xml:space="preserve"> routine use of dexamethasone in outpat</w:t>
      </w:r>
      <w:r w:rsidR="00BC2FD6">
        <w:rPr>
          <w:rFonts w:ascii="Calibri" w:eastAsia="Calibri" w:hAnsi="Calibri" w:cs="Calibri"/>
          <w:sz w:val="22"/>
          <w:szCs w:val="22"/>
        </w:rPr>
        <w:t>ients diagnosed with COVID-19.</w:t>
      </w:r>
    </w:p>
    <w:p w14:paraId="5CABBA35" w14:textId="43136915" w:rsidR="00BC2FD6" w:rsidRDefault="00BC2FD6" w:rsidP="00AD45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5AB31EB2" w14:textId="66B28B4B" w:rsidR="00BC2FD6" w:rsidRPr="00BC2FD6" w:rsidRDefault="00BC2FD6" w:rsidP="00AD454A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BC2FD6">
        <w:rPr>
          <w:rFonts w:ascii="Calibri" w:eastAsia="Calibri" w:hAnsi="Calibri" w:cs="Calibri"/>
          <w:sz w:val="22"/>
          <w:szCs w:val="22"/>
        </w:rPr>
        <w:t>Please reach out to Dr. Kwock for any questions or concerns.</w:t>
      </w:r>
    </w:p>
    <w:p w14:paraId="027DD438" w14:textId="77777777" w:rsidR="00995CFB" w:rsidRDefault="00995CFB" w:rsidP="00995CFB">
      <w:p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</w:p>
    <w:p w14:paraId="1FB45FF6" w14:textId="10000D9E" w:rsidR="00995CFB" w:rsidRPr="00995CFB" w:rsidRDefault="00E05AB6" w:rsidP="00995CFB">
      <w:pPr>
        <w:autoSpaceDE w:val="0"/>
        <w:autoSpaceDN w:val="0"/>
        <w:adjustRightInd w:val="0"/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you,</w:t>
      </w:r>
    </w:p>
    <w:p w14:paraId="4358DAB0" w14:textId="6CF84721" w:rsidR="00262FFE" w:rsidRDefault="003C5AC2" w:rsidP="00262F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Doug</w:t>
      </w:r>
      <w:r w:rsidR="00262FFE">
        <w:rPr>
          <w:rFonts w:ascii="Calibri" w:hAnsi="Calibri"/>
          <w:sz w:val="22"/>
          <w:szCs w:val="22"/>
        </w:rPr>
        <w:t>las</w:t>
      </w:r>
      <w:r>
        <w:rPr>
          <w:rFonts w:ascii="Calibri" w:hAnsi="Calibri"/>
          <w:sz w:val="22"/>
          <w:szCs w:val="22"/>
        </w:rPr>
        <w:t xml:space="preserve"> Kwock, MD </w:t>
      </w:r>
      <w:r w:rsidR="00262FFE">
        <w:rPr>
          <w:rFonts w:ascii="Calibri" w:hAnsi="Calibri"/>
          <w:sz w:val="22"/>
          <w:szCs w:val="22"/>
        </w:rPr>
        <w:tab/>
      </w:r>
      <w:r w:rsidR="00262FFE">
        <w:rPr>
          <w:rFonts w:ascii="Calibri" w:hAnsi="Calibri"/>
          <w:sz w:val="22"/>
          <w:szCs w:val="22"/>
        </w:rPr>
        <w:tab/>
      </w:r>
      <w:r w:rsidR="00995CFB" w:rsidRPr="00995CFB">
        <w:rPr>
          <w:rFonts w:ascii="Calibri" w:hAnsi="Calibri"/>
          <w:sz w:val="22"/>
          <w:szCs w:val="22"/>
        </w:rPr>
        <w:t>Venkataraman Balaraman, MBBS</w:t>
      </w:r>
      <w:r w:rsidR="00262FFE">
        <w:rPr>
          <w:rFonts w:ascii="Calibri" w:hAnsi="Calibri"/>
          <w:sz w:val="22"/>
          <w:szCs w:val="22"/>
        </w:rPr>
        <w:tab/>
        <w:t xml:space="preserve">Jen Dacumos, </w:t>
      </w:r>
      <w:proofErr w:type="spellStart"/>
      <w:r w:rsidR="00262FFE">
        <w:rPr>
          <w:rFonts w:ascii="Calibri" w:hAnsi="Calibri"/>
          <w:sz w:val="22"/>
          <w:szCs w:val="22"/>
        </w:rPr>
        <w:t>PharmD</w:t>
      </w:r>
      <w:proofErr w:type="spellEnd"/>
      <w:r w:rsidR="00262FFE">
        <w:rPr>
          <w:rFonts w:ascii="Calibri" w:hAnsi="Calibri"/>
          <w:sz w:val="22"/>
          <w:szCs w:val="22"/>
        </w:rPr>
        <w:t>, MBA</w:t>
      </w:r>
    </w:p>
    <w:p w14:paraId="45305712" w14:textId="3AC9B8ED" w:rsidR="00AD454A" w:rsidRDefault="00852F1C" w:rsidP="00262FF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VP Medi</w:t>
      </w:r>
      <w:r w:rsidR="00262FFE">
        <w:rPr>
          <w:rFonts w:ascii="Calibri" w:hAnsi="Calibri"/>
          <w:sz w:val="22"/>
          <w:szCs w:val="22"/>
        </w:rPr>
        <w:t xml:space="preserve">cal Affairs, HPH </w:t>
      </w:r>
      <w:r w:rsidR="00262FFE">
        <w:rPr>
          <w:rFonts w:ascii="Calibri" w:hAnsi="Calibri"/>
          <w:sz w:val="22"/>
          <w:szCs w:val="22"/>
        </w:rPr>
        <w:tab/>
      </w:r>
      <w:r w:rsidR="00995CFB" w:rsidRPr="00995CFB">
        <w:rPr>
          <w:rFonts w:ascii="Calibri" w:hAnsi="Calibri"/>
          <w:sz w:val="22"/>
          <w:szCs w:val="22"/>
        </w:rPr>
        <w:t xml:space="preserve">Chair, HPH System P&amp;T </w:t>
      </w:r>
      <w:r w:rsidR="00FC1871">
        <w:rPr>
          <w:rFonts w:ascii="Calibri" w:hAnsi="Calibri"/>
          <w:sz w:val="22"/>
          <w:szCs w:val="22"/>
        </w:rPr>
        <w:t>Committ</w:t>
      </w:r>
      <w:r w:rsidR="00995CFB" w:rsidRPr="00995CFB">
        <w:rPr>
          <w:rFonts w:ascii="Calibri" w:hAnsi="Calibri"/>
          <w:sz w:val="22"/>
          <w:szCs w:val="22"/>
        </w:rPr>
        <w:t>ee</w:t>
      </w:r>
      <w:r w:rsidR="00C50CB3">
        <w:rPr>
          <w:rFonts w:ascii="Calibri" w:hAnsi="Calibri"/>
          <w:sz w:val="22"/>
          <w:szCs w:val="22"/>
        </w:rPr>
        <w:tab/>
      </w:r>
      <w:r w:rsidR="00AD454A">
        <w:rPr>
          <w:rFonts w:ascii="Calibri" w:hAnsi="Calibri"/>
          <w:sz w:val="22"/>
          <w:szCs w:val="22"/>
        </w:rPr>
        <w:t>System Director Pharmacy, HPH</w:t>
      </w:r>
    </w:p>
    <w:p w14:paraId="2B06DA4A" w14:textId="7FCF40AE" w:rsidR="003C5AC2" w:rsidRDefault="00BC2FD6" w:rsidP="00995C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1F6C" wp14:editId="4EF98501">
                <wp:simplePos x="0" y="0"/>
                <wp:positionH relativeFrom="margin">
                  <wp:align>center</wp:align>
                </wp:positionH>
                <wp:positionV relativeFrom="paragraph">
                  <wp:posOffset>195391</wp:posOffset>
                </wp:positionV>
                <wp:extent cx="5686425" cy="15430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DCA6B" w14:textId="77777777" w:rsidR="003C5AC2" w:rsidRPr="00894F72" w:rsidRDefault="003C5AC2" w:rsidP="003C5AC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4F7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References: </w:t>
                            </w:r>
                          </w:p>
                          <w:p w14:paraId="32DB4A42" w14:textId="77777777" w:rsidR="003C5AC2" w:rsidRPr="00894F72" w:rsidRDefault="003C5AC2" w:rsidP="003C5A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alibri" w:hAnsi="Calibri" w:cs="Calibr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894F7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RECOVERY Collaborative Group.  Dexamethasone in Hospitalized Patients with COVID-19 – Preliminary Report. Accessed September 21, 2020. Available at: </w:t>
                            </w:r>
                            <w:hyperlink r:id="rId11" w:history="1">
                              <w:r w:rsidRPr="00894F72">
                                <w:rPr>
                                  <w:rStyle w:val="Hyperlink"/>
                                  <w:rFonts w:ascii="Calibri" w:hAnsi="Calibri" w:cs="Calibri"/>
                                  <w:color w:val="0070C0"/>
                                  <w:sz w:val="20"/>
                                  <w:szCs w:val="20"/>
                                </w:rPr>
                                <w:t>https://www.nejm.org/doi/10.1056/NEJMoa2021436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BC8239" w14:textId="77777777" w:rsidR="003C5AC2" w:rsidRPr="00894F72" w:rsidRDefault="003C5AC2" w:rsidP="003C5A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alibri" w:hAnsi="Calibri" w:cs="Calibr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894F7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Infectious Diseases Society of America (IDSA) </w:t>
                            </w:r>
                            <w:r w:rsidRPr="00894F7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/>
                              </w:rPr>
                              <w:t>Guidelines on the Treatment and Management of Patients with COVID-19.  Accessed September 21, 2020.  Available at</w:t>
                            </w:r>
                            <w:r w:rsidRPr="00894F72">
                              <w:rPr>
                                <w:rFonts w:ascii="Calibri" w:hAnsi="Calibri" w:cs="Calibri"/>
                                <w:color w:val="1F365C"/>
                                <w:sz w:val="20"/>
                                <w:szCs w:val="20"/>
                                <w:lang w:val="en"/>
                              </w:rPr>
                              <w:t xml:space="preserve">: </w:t>
                            </w:r>
                            <w:hyperlink r:id="rId12" w:history="1">
                              <w:r w:rsidRPr="00894F72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https://www.idsociety.org/practice-guideline/covid-19-guideline-treatment-and-management/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7DC79AE" w14:textId="77777777" w:rsidR="003C5AC2" w:rsidRPr="003C5AC2" w:rsidRDefault="003C5AC2" w:rsidP="003C5A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alibri" w:hAnsi="Calibri" w:cs="Calibr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894F7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National Institutes of Health (NIH) Coronavirus Disease 2019 (COVID-19) Treatment Guidelines.  Accessed September 21, 2020.  Available at: </w:t>
                            </w:r>
                            <w:hyperlink r:id="rId13" w:history="1">
                              <w:r w:rsidRPr="00894F72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https://www.covid19treatmentguidelines.nih.gov/</w:t>
                              </w:r>
                            </w:hyperlink>
                          </w:p>
                          <w:p w14:paraId="4CC9F8DD" w14:textId="77777777" w:rsidR="003C5AC2" w:rsidRDefault="003C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C1F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5.4pt;width:447.75pt;height:12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" fillcolor="white [3201]" stroked="f" strokeweight=".5pt">
                <v:textbox>
                  <w:txbxContent>
                    <w:p w14:paraId="35CDCA6B" w14:textId="77777777" w:rsidR="003C5AC2" w:rsidRPr="00894F72" w:rsidRDefault="003C5AC2" w:rsidP="003C5AC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4F7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References: </w:t>
                      </w:r>
                    </w:p>
                    <w:p w14:paraId="32DB4A42" w14:textId="77777777" w:rsidR="003C5AC2" w:rsidRPr="00894F72" w:rsidRDefault="003C5AC2" w:rsidP="003C5A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alibri" w:hAnsi="Calibri" w:cs="Calibri"/>
                          <w:color w:val="1F497D"/>
                          <w:sz w:val="20"/>
                          <w:szCs w:val="20"/>
                        </w:rPr>
                      </w:pPr>
                      <w:r w:rsidRPr="00894F7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RECOVERY Collaborative Group.  Dexamethasone in Hospitalized Patients with COVID-19 – Preliminary Report. Accessed September 21, 2020. Available at: </w:t>
                      </w:r>
                      <w:hyperlink r:id="rId14" w:history="1">
                        <w:r w:rsidRPr="00894F72">
                          <w:rPr>
                            <w:rStyle w:val="Hyperlink"/>
                            <w:rFonts w:ascii="Calibri" w:hAnsi="Calibri" w:cs="Calibri"/>
                            <w:color w:val="0070C0"/>
                            <w:sz w:val="20"/>
                            <w:szCs w:val="20"/>
                          </w:rPr>
                          <w:t>https://www.nejm.org/doi/10.1056/NEJMoa2021436</w:t>
                        </w:r>
                      </w:hyperlink>
                      <w:r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21BC8239" w14:textId="77777777" w:rsidR="003C5AC2" w:rsidRPr="00894F72" w:rsidRDefault="003C5AC2" w:rsidP="003C5A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alibri" w:hAnsi="Calibri" w:cs="Calibri"/>
                          <w:color w:val="1F497D"/>
                          <w:sz w:val="20"/>
                          <w:szCs w:val="20"/>
                        </w:rPr>
                      </w:pPr>
                      <w:r w:rsidRPr="00894F7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Infectious Diseases Society of America (IDSA) </w:t>
                      </w:r>
                      <w:r w:rsidRPr="00894F72">
                        <w:rPr>
                          <w:rFonts w:ascii="Calibri" w:hAnsi="Calibri" w:cs="Calibri"/>
                          <w:sz w:val="20"/>
                          <w:szCs w:val="20"/>
                          <w:lang w:val="en"/>
                        </w:rPr>
                        <w:t>Guidelines on the Treatment and Management of Patients with COVID-19.  Accessed September 21, 2020.  Available at</w:t>
                      </w:r>
                      <w:r w:rsidRPr="00894F72">
                        <w:rPr>
                          <w:rFonts w:ascii="Calibri" w:hAnsi="Calibri" w:cs="Calibri"/>
                          <w:color w:val="1F365C"/>
                          <w:sz w:val="20"/>
                          <w:szCs w:val="20"/>
                          <w:lang w:val="en"/>
                        </w:rPr>
                        <w:t xml:space="preserve">: </w:t>
                      </w:r>
                      <w:hyperlink r:id="rId15" w:history="1">
                        <w:r w:rsidRPr="00894F72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https://www.idsociety.org/practice-guideline/covid-19-guideline-treatment-and-management/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7DC79AE" w14:textId="77777777" w:rsidR="003C5AC2" w:rsidRPr="003C5AC2" w:rsidRDefault="003C5AC2" w:rsidP="003C5A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alibri" w:hAnsi="Calibri" w:cs="Calibri"/>
                          <w:color w:val="1F497D"/>
                          <w:sz w:val="20"/>
                          <w:szCs w:val="20"/>
                        </w:rPr>
                      </w:pPr>
                      <w:r w:rsidRPr="00894F7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National Institutes of Health (NIH) Coronavirus Disease 2019 (COVID-19) Treatment Guidelines.  Accessed September 21, 2020.  Available at: </w:t>
                      </w:r>
                      <w:hyperlink r:id="rId16" w:history="1">
                        <w:r w:rsidRPr="00894F72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https://www.covid19treatmentguidelines.nih.gov/</w:t>
                        </w:r>
                      </w:hyperlink>
                    </w:p>
                    <w:p w14:paraId="4CC9F8DD" w14:textId="77777777" w:rsidR="003C5AC2" w:rsidRDefault="003C5AC2"/>
                  </w:txbxContent>
                </v:textbox>
                <w10:wrap anchorx="margin"/>
              </v:shape>
            </w:pict>
          </mc:Fallback>
        </mc:AlternateContent>
      </w:r>
    </w:p>
    <w:sectPr w:rsidR="003C5AC2" w:rsidSect="0008554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62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AD6B" w14:textId="77777777" w:rsidR="003C1FD6" w:rsidRDefault="003C1FD6" w:rsidP="00F02C17">
      <w:r>
        <w:separator/>
      </w:r>
    </w:p>
  </w:endnote>
  <w:endnote w:type="continuationSeparator" w:id="0">
    <w:p w14:paraId="7E93DA12" w14:textId="77777777" w:rsidR="003C1FD6" w:rsidRDefault="003C1FD6" w:rsidP="00F0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F35E" w14:textId="3905E3A4" w:rsidR="00A76CC4" w:rsidRPr="00085548" w:rsidRDefault="00A76CC4" w:rsidP="00CC1FF9">
    <w:pPr>
      <w:pStyle w:val="Footer"/>
      <w:tabs>
        <w:tab w:val="clear" w:pos="4320"/>
        <w:tab w:val="clear" w:pos="8640"/>
      </w:tabs>
      <w:ind w:left="-720"/>
      <w:rPr>
        <w:color w:val="808080" w:themeColor="background1" w:themeShade="80"/>
        <w:sz w:val="20"/>
        <w:szCs w:val="20"/>
      </w:rPr>
    </w:pPr>
    <w:r w:rsidRPr="00085548">
      <w:rPr>
        <w:rStyle w:val="PageNumber"/>
        <w:color w:val="808080" w:themeColor="background1" w:themeShade="80"/>
        <w:sz w:val="20"/>
        <w:szCs w:val="20"/>
      </w:rPr>
      <w:t xml:space="preserve">Page </w:t>
    </w:r>
    <w:r w:rsidRPr="00085548">
      <w:rPr>
        <w:rStyle w:val="PageNumber"/>
        <w:color w:val="808080" w:themeColor="background1" w:themeShade="80"/>
        <w:sz w:val="20"/>
        <w:szCs w:val="20"/>
      </w:rPr>
      <w:fldChar w:fldCharType="begin"/>
    </w:r>
    <w:r w:rsidRPr="00085548">
      <w:rPr>
        <w:rStyle w:val="PageNumber"/>
        <w:color w:val="808080" w:themeColor="background1" w:themeShade="80"/>
        <w:sz w:val="20"/>
        <w:szCs w:val="20"/>
      </w:rPr>
      <w:instrText xml:space="preserve"> PAGE </w:instrText>
    </w:r>
    <w:r w:rsidRPr="00085548">
      <w:rPr>
        <w:rStyle w:val="PageNumber"/>
        <w:color w:val="808080" w:themeColor="background1" w:themeShade="80"/>
        <w:sz w:val="20"/>
        <w:szCs w:val="20"/>
      </w:rPr>
      <w:fldChar w:fldCharType="separate"/>
    </w:r>
    <w:r w:rsidR="003C5AC2">
      <w:rPr>
        <w:rStyle w:val="PageNumber"/>
        <w:noProof/>
        <w:color w:val="808080" w:themeColor="background1" w:themeShade="80"/>
        <w:sz w:val="20"/>
        <w:szCs w:val="20"/>
      </w:rPr>
      <w:t>2</w:t>
    </w:r>
    <w:r w:rsidRPr="00085548">
      <w:rPr>
        <w:rStyle w:val="PageNumber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D201B" w14:textId="723AF3E6" w:rsidR="00A76CC4" w:rsidRPr="00085548" w:rsidRDefault="00A96877" w:rsidP="008611AE">
    <w:pPr>
      <w:ind w:left="-720"/>
      <w:rPr>
        <w:color w:val="808080" w:themeColor="background1" w:themeShade="80"/>
        <w:spacing w:val="10"/>
        <w:sz w:val="22"/>
        <w:szCs w:val="22"/>
      </w:rPr>
    </w:pPr>
    <w:r>
      <w:rPr>
        <w:noProof/>
        <w:color w:val="808080" w:themeColor="background1" w:themeShade="80"/>
        <w:spacing w:val="10"/>
        <w:sz w:val="22"/>
        <w:szCs w:val="22"/>
      </w:rPr>
      <w:drawing>
        <wp:inline distT="0" distB="0" distL="0" distR="0" wp14:anchorId="5AABAA00" wp14:editId="656F9101">
          <wp:extent cx="5943600" cy="2533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plate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5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5C1B" w14:textId="77777777" w:rsidR="003C1FD6" w:rsidRDefault="003C1FD6" w:rsidP="00F02C17">
      <w:r>
        <w:separator/>
      </w:r>
    </w:p>
  </w:footnote>
  <w:footnote w:type="continuationSeparator" w:id="0">
    <w:p w14:paraId="486F338E" w14:textId="77777777" w:rsidR="003C1FD6" w:rsidRDefault="003C1FD6" w:rsidP="00F0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A3AD" w14:textId="682CF3BC" w:rsidR="00A76CC4" w:rsidRDefault="00A76CC4" w:rsidP="00F02C17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7261" w14:textId="7A4F9559" w:rsidR="00A76CC4" w:rsidRDefault="0024649D" w:rsidP="00085548">
    <w:pPr>
      <w:pStyle w:val="Header"/>
      <w:tabs>
        <w:tab w:val="clear" w:pos="4320"/>
        <w:tab w:val="clear" w:pos="8640"/>
      </w:tabs>
    </w:pPr>
    <w:r w:rsidRPr="0024649D">
      <w:rPr>
        <w:noProof/>
        <w:color w:val="808080" w:themeColor="background1" w:themeShade="80"/>
        <w:spacing w:val="10"/>
        <w:sz w:val="22"/>
        <w:szCs w:val="22"/>
      </w:rPr>
      <w:drawing>
        <wp:anchor distT="0" distB="0" distL="114300" distR="114300" simplePos="0" relativeHeight="251660288" behindDoc="1" locked="0" layoutInCell="1" allowOverlap="1" wp14:anchorId="5750CF06" wp14:editId="3ACB0096">
          <wp:simplePos x="0" y="0"/>
          <wp:positionH relativeFrom="column">
            <wp:posOffset>0</wp:posOffset>
          </wp:positionH>
          <wp:positionV relativeFrom="page">
            <wp:posOffset>368935</wp:posOffset>
          </wp:positionV>
          <wp:extent cx="2045335" cy="10382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3" t="18152" r="10435" b="15181"/>
                  <a:stretch/>
                </pic:blipFill>
                <pic:spPr>
                  <a:xfrm>
                    <a:off x="0" y="0"/>
                    <a:ext cx="204533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4B7B9" w14:textId="111CE2C6" w:rsidR="00A76CC4" w:rsidRDefault="00A76CC4" w:rsidP="00085548">
    <w:pPr>
      <w:pStyle w:val="Header"/>
      <w:tabs>
        <w:tab w:val="clear" w:pos="4320"/>
        <w:tab w:val="clear" w:pos="8640"/>
      </w:tabs>
    </w:pPr>
  </w:p>
  <w:p w14:paraId="05C90ECD" w14:textId="6757ED70" w:rsidR="00A76CC4" w:rsidRDefault="00A76CC4" w:rsidP="00A96877">
    <w:pPr>
      <w:pStyle w:val="Header"/>
      <w:tabs>
        <w:tab w:val="clear" w:pos="4320"/>
        <w:tab w:val="clear" w:pos="8640"/>
      </w:tabs>
      <w:jc w:val="right"/>
    </w:pPr>
  </w:p>
  <w:p w14:paraId="0D4972BE" w14:textId="3B7A4535" w:rsidR="00A76CC4" w:rsidRDefault="0024649D" w:rsidP="00085548">
    <w:pPr>
      <w:pStyle w:val="Header"/>
      <w:tabs>
        <w:tab w:val="clear" w:pos="4320"/>
        <w:tab w:val="clear" w:pos="8640"/>
      </w:tabs>
    </w:pPr>
    <w:r w:rsidRPr="0024649D">
      <w:rPr>
        <w:noProof/>
        <w:color w:val="808080" w:themeColor="background1" w:themeShade="80"/>
        <w:spacing w:val="1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0EDFB" wp14:editId="26B86FB2">
              <wp:simplePos x="0" y="0"/>
              <wp:positionH relativeFrom="margin">
                <wp:posOffset>4010025</wp:posOffset>
              </wp:positionH>
              <wp:positionV relativeFrom="paragraph">
                <wp:posOffset>107950</wp:posOffset>
              </wp:positionV>
              <wp:extent cx="1990725" cy="27622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725" cy="276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01C710" w14:textId="77777777" w:rsidR="0024649D" w:rsidRPr="00AF2FB1" w:rsidRDefault="0024649D" w:rsidP="0024649D">
                          <w:pPr>
                            <w:jc w:val="right"/>
                          </w:pPr>
                          <w:r w:rsidRPr="00AF2FB1">
                            <w:rPr>
                              <w:rFonts w:ascii="Arial" w:eastAsia="MS PGothic" w:hAnsi="Arial"/>
                              <w:color w:val="808080"/>
                              <w:spacing w:val="10"/>
                              <w:kern w:val="24"/>
                            </w:rPr>
                            <w:t>HawaiiPacificHealth.org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0EDFB" id="Rectangle 3" o:spid="_x0000_s1027" style="position:absolute;margin-left:315.75pt;margin-top:8.5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" filled="f" stroked="f">
              <v:textbox>
                <w:txbxContent>
                  <w:p w14:paraId="3E01C710" w14:textId="77777777" w:rsidR="0024649D" w:rsidRPr="00AF2FB1" w:rsidRDefault="0024649D" w:rsidP="0024649D">
                    <w:pPr>
                      <w:jc w:val="right"/>
                    </w:pPr>
                    <w:r w:rsidRPr="00AF2FB1">
                      <w:rPr>
                        <w:rFonts w:ascii="Arial" w:eastAsia="MS PGothic" w:hAnsi="Arial"/>
                        <w:color w:val="808080"/>
                        <w:spacing w:val="10"/>
                        <w:kern w:val="24"/>
                      </w:rPr>
                      <w:t>HawaiiPacificHealth.org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55C39334" w14:textId="7A5C2166" w:rsidR="00A76CC4" w:rsidRDefault="00A76CC4" w:rsidP="00085548">
    <w:pPr>
      <w:pStyle w:val="Header"/>
      <w:tabs>
        <w:tab w:val="clear" w:pos="4320"/>
        <w:tab w:val="clear" w:pos="8640"/>
      </w:tabs>
    </w:pPr>
  </w:p>
  <w:p w14:paraId="4B1C9A49" w14:textId="062E30FA" w:rsidR="00A76CC4" w:rsidRDefault="00A76CC4" w:rsidP="00085548">
    <w:pPr>
      <w:pStyle w:val="Header"/>
    </w:pPr>
  </w:p>
  <w:p w14:paraId="66FFEB6C" w14:textId="77777777" w:rsidR="0024649D" w:rsidRDefault="0024649D" w:rsidP="00085548">
    <w:pPr>
      <w:pStyle w:val="Header"/>
    </w:pPr>
  </w:p>
  <w:p w14:paraId="02F76E39" w14:textId="77777777" w:rsidR="0024649D" w:rsidRPr="00085548" w:rsidRDefault="0024649D" w:rsidP="00085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41B"/>
    <w:multiLevelType w:val="hybridMultilevel"/>
    <w:tmpl w:val="96B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998"/>
    <w:multiLevelType w:val="hybridMultilevel"/>
    <w:tmpl w:val="43A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381"/>
    <w:multiLevelType w:val="hybridMultilevel"/>
    <w:tmpl w:val="6030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7509"/>
    <w:multiLevelType w:val="hybridMultilevel"/>
    <w:tmpl w:val="406E235E"/>
    <w:lvl w:ilvl="0" w:tplc="BAAA8E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05433"/>
    <w:multiLevelType w:val="hybridMultilevel"/>
    <w:tmpl w:val="E78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17"/>
    <w:rsid w:val="00050442"/>
    <w:rsid w:val="00076C8E"/>
    <w:rsid w:val="00085548"/>
    <w:rsid w:val="000E139D"/>
    <w:rsid w:val="001769E9"/>
    <w:rsid w:val="00222FA9"/>
    <w:rsid w:val="0024649D"/>
    <w:rsid w:val="00262FFE"/>
    <w:rsid w:val="00296CDA"/>
    <w:rsid w:val="003049CC"/>
    <w:rsid w:val="003A68EF"/>
    <w:rsid w:val="003C1FD6"/>
    <w:rsid w:val="003C5AC2"/>
    <w:rsid w:val="004E479E"/>
    <w:rsid w:val="00503989"/>
    <w:rsid w:val="00504F8F"/>
    <w:rsid w:val="00575D39"/>
    <w:rsid w:val="005A1C3F"/>
    <w:rsid w:val="006369DB"/>
    <w:rsid w:val="00663FFB"/>
    <w:rsid w:val="007E5F15"/>
    <w:rsid w:val="00852F1C"/>
    <w:rsid w:val="008611AE"/>
    <w:rsid w:val="00894F72"/>
    <w:rsid w:val="008A7B14"/>
    <w:rsid w:val="008C6CA3"/>
    <w:rsid w:val="00940B50"/>
    <w:rsid w:val="009756DE"/>
    <w:rsid w:val="0099125E"/>
    <w:rsid w:val="00995CFB"/>
    <w:rsid w:val="00A76CC4"/>
    <w:rsid w:val="00A96877"/>
    <w:rsid w:val="00AD454A"/>
    <w:rsid w:val="00BB328C"/>
    <w:rsid w:val="00BC2FD6"/>
    <w:rsid w:val="00C50CB3"/>
    <w:rsid w:val="00CC1FF9"/>
    <w:rsid w:val="00CF436C"/>
    <w:rsid w:val="00CF735C"/>
    <w:rsid w:val="00D27AB6"/>
    <w:rsid w:val="00D3666F"/>
    <w:rsid w:val="00D759D7"/>
    <w:rsid w:val="00DC0E63"/>
    <w:rsid w:val="00DC3D56"/>
    <w:rsid w:val="00E05AB6"/>
    <w:rsid w:val="00E32E54"/>
    <w:rsid w:val="00ED7CCA"/>
    <w:rsid w:val="00F01D25"/>
    <w:rsid w:val="00F02C17"/>
    <w:rsid w:val="00F04E95"/>
    <w:rsid w:val="00FB71EA"/>
    <w:rsid w:val="00FC1871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D85082"/>
  <w14:defaultImageDpi w14:val="300"/>
  <w15:docId w15:val="{5A215DC2-FD32-41AB-9159-34C1033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25"/>
  </w:style>
  <w:style w:type="paragraph" w:styleId="Heading1">
    <w:name w:val="heading 1"/>
    <w:basedOn w:val="Normal"/>
    <w:link w:val="Heading1Char"/>
    <w:uiPriority w:val="9"/>
    <w:qFormat/>
    <w:rsid w:val="00894F72"/>
    <w:pPr>
      <w:spacing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2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2C17"/>
  </w:style>
  <w:style w:type="paragraph" w:styleId="Footer">
    <w:name w:val="footer"/>
    <w:basedOn w:val="Normal"/>
    <w:link w:val="FooterChar"/>
    <w:uiPriority w:val="99"/>
    <w:unhideWhenUsed/>
    <w:rsid w:val="00F02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17"/>
  </w:style>
  <w:style w:type="paragraph" w:styleId="BalloonText">
    <w:name w:val="Balloon Text"/>
    <w:basedOn w:val="Normal"/>
    <w:link w:val="BalloonTextChar"/>
    <w:uiPriority w:val="99"/>
    <w:semiHidden/>
    <w:unhideWhenUsed/>
    <w:rsid w:val="00F02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5548"/>
  </w:style>
  <w:style w:type="paragraph" w:styleId="MessageHeader">
    <w:name w:val="Message Header"/>
    <w:basedOn w:val="BodyText"/>
    <w:link w:val="MessageHeaderChar"/>
    <w:rsid w:val="00CF735C"/>
    <w:pPr>
      <w:keepLines/>
      <w:spacing w:after="40" w:line="140" w:lineRule="atLeast"/>
      <w:ind w:left="360"/>
    </w:pPr>
    <w:rPr>
      <w:rFonts w:ascii="Garamond" w:eastAsia="Times New Roman" w:hAnsi="Garamond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F735C"/>
    <w:rPr>
      <w:rFonts w:ascii="Garamond" w:eastAsia="Times New Roman" w:hAnsi="Garamond" w:cs="Times New Roman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  <w:rsid w:val="00CF735C"/>
  </w:style>
  <w:style w:type="paragraph" w:customStyle="1" w:styleId="MessageHeaderLabel">
    <w:name w:val="Message Header Label"/>
    <w:basedOn w:val="MessageHeader"/>
    <w:next w:val="MessageHeader"/>
    <w:rsid w:val="00CF735C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3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35C"/>
  </w:style>
  <w:style w:type="character" w:styleId="Hyperlink">
    <w:name w:val="Hyperlink"/>
    <w:basedOn w:val="DefaultParagraphFont"/>
    <w:uiPriority w:val="99"/>
    <w:unhideWhenUsed/>
    <w:rsid w:val="00CF436C"/>
    <w:rPr>
      <w:color w:val="0563C1"/>
      <w:u w:val="single"/>
    </w:rPr>
  </w:style>
  <w:style w:type="character" w:customStyle="1" w:styleId="f-caption8">
    <w:name w:val="f-caption8"/>
    <w:basedOn w:val="DefaultParagraphFont"/>
    <w:rsid w:val="00CF436C"/>
    <w:rPr>
      <w:rFonts w:ascii="Helvetica" w:hAnsi="Helvetica" w:cs="Helvetica" w:hint="default"/>
      <w:b w:val="0"/>
      <w:bCs w:val="0"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F436C"/>
    <w:rPr>
      <w:color w:val="78787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18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18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94F72"/>
    <w:rPr>
      <w:rFonts w:ascii="Times New Roman" w:eastAsia="Times New Roman" w:hAnsi="Times New Roman" w:cs="Times New Roman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vid19treatmentguidelines.nih.gov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dsociety.org/practice-guideline/covid-19-guideline-treatment-and-managemen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vid19treatmentguidelines.nih.gov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jm.org/doi/10.1056/NEJMoa202143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dsociety.org/practice-guideline/covid-19-guideline-treatment-and-management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jm.org/doi/10.1056/NEJMoa2021436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ph-arial-theme">
  <a:themeElements>
    <a:clrScheme name="HPH 1">
      <a:dk1>
        <a:srgbClr val="78787B"/>
      </a:dk1>
      <a:lt1>
        <a:sysClr val="window" lastClr="FFFFFF"/>
      </a:lt1>
      <a:dk2>
        <a:srgbClr val="404040"/>
      </a:dk2>
      <a:lt2>
        <a:srgbClr val="F4F2EC"/>
      </a:lt2>
      <a:accent1>
        <a:srgbClr val="0091BA"/>
      </a:accent1>
      <a:accent2>
        <a:srgbClr val="F58220"/>
      </a:accent2>
      <a:accent3>
        <a:srgbClr val="62A945"/>
      </a:accent3>
      <a:accent4>
        <a:srgbClr val="862065"/>
      </a:accent4>
      <a:accent5>
        <a:srgbClr val="0071B9"/>
      </a:accent5>
      <a:accent6>
        <a:srgbClr val="78787B"/>
      </a:accent6>
      <a:hlink>
        <a:srgbClr val="0091BA"/>
      </a:hlink>
      <a:folHlink>
        <a:srgbClr val="7878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1062D0EAF044095D91EB67FCBC0FF" ma:contentTypeVersion="3" ma:contentTypeDescription="Create a new document." ma:contentTypeScope="" ma:versionID="5d69062c0d07ac375fd865c836fdf1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63F3B-3A9E-4E01-BE90-71522F7E028E}"/>
</file>

<file path=customXml/itemProps2.xml><?xml version="1.0" encoding="utf-8"?>
<ds:datastoreItem xmlns:ds="http://schemas.openxmlformats.org/officeDocument/2006/customXml" ds:itemID="{4C156979-8D41-4103-B8D4-C58AD72D9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8EDD9-ABA2-4675-8191-6BDA5C445888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BACE87-710E-48E3-999C-A74BF7BB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Anthology Marketing Group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Kwock, Douglas MD</dc:creator>
  <cp:keywords/>
  <dc:description/>
  <cp:lastModifiedBy>King, Alexis</cp:lastModifiedBy>
  <cp:revision>2</cp:revision>
  <cp:lastPrinted>2020-09-23T04:03:00Z</cp:lastPrinted>
  <dcterms:created xsi:type="dcterms:W3CDTF">2020-09-30T00:37:00Z</dcterms:created>
  <dcterms:modified xsi:type="dcterms:W3CDTF">2020-09-30T00:37:00Z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0x010100AB71062D0EAF044095D91EB67FCBC0FF</vt:lpwstr>
  </property>
</Properties>
</file>